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6</w:t>
      </w:r>
    </w:p>
    <w:p>
      <w:pPr>
        <w:spacing w:line="560" w:lineRule="exact"/>
        <w:jc w:val="center"/>
        <w:rPr>
          <w:rFonts w:ascii="宋体" w:cs="方正小标宋_GBK"/>
          <w:b/>
          <w:sz w:val="44"/>
          <w:szCs w:val="44"/>
        </w:rPr>
      </w:pPr>
    </w:p>
    <w:p>
      <w:pPr>
        <w:spacing w:line="560" w:lineRule="exact"/>
        <w:jc w:val="center"/>
        <w:rPr>
          <w:rFonts w:ascii="方正小标宋简体" w:hAnsi="宋体" w:eastAsia="方正小标宋简体" w:cs="方正小标宋_GBK"/>
          <w:sz w:val="44"/>
          <w:szCs w:val="44"/>
        </w:rPr>
      </w:pPr>
      <w:r>
        <w:rPr>
          <w:rFonts w:hint="eastAsia" w:ascii="方正小标宋简体" w:hAnsi="宋体" w:eastAsia="方正小标宋简体" w:cs="方正小标宋_GBK"/>
          <w:sz w:val="44"/>
          <w:szCs w:val="44"/>
        </w:rPr>
        <w:t>住房城乡建设领域施工现场专业人员</w:t>
      </w:r>
    </w:p>
    <w:p>
      <w:pPr>
        <w:spacing w:line="560" w:lineRule="exact"/>
        <w:jc w:val="center"/>
        <w:rPr>
          <w:rFonts w:ascii="方正小标宋简体" w:eastAsia="方正小标宋简体" w:cs="方正小标宋_GBK"/>
          <w:sz w:val="44"/>
          <w:szCs w:val="44"/>
        </w:rPr>
      </w:pPr>
      <w:r>
        <w:rPr>
          <w:rFonts w:hint="eastAsia" w:ascii="方正小标宋简体" w:hAnsi="宋体" w:eastAsia="方正小标宋简体" w:cs="方正小标宋_GBK"/>
          <w:sz w:val="44"/>
          <w:szCs w:val="44"/>
        </w:rPr>
        <w:t>培训机构动态管理办法</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为加强我省住房城乡建设领域施工现场专业人员职业培训工作管理，构建机构自觉、行业自律、社会监督、政府监管的长效机制，营造良好的职业培训生态环境，制定本办法。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一、管理对象</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列入我省住房城乡建设领域施工现场专业人员职业培训机构目录的单位。</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二、管理内容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主要包括培训机构的制度建设、师资队伍建设、培训测试场地设施建设、档案资料管理、培训业绩以及社会声誉等方面情况。</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三、管理方式</w:t>
      </w:r>
    </w:p>
    <w:p>
      <w:pPr>
        <w:spacing w:line="560" w:lineRule="exact"/>
        <w:ind w:firstLine="640" w:firstLineChars="200"/>
        <w:rPr>
          <w:rFonts w:ascii="黑体" w:hAnsi="黑体" w:eastAsia="黑体" w:cs="黑体"/>
          <w:sz w:val="32"/>
          <w:szCs w:val="32"/>
        </w:rPr>
      </w:pPr>
      <w:r>
        <w:rPr>
          <w:rFonts w:hint="eastAsia" w:ascii="楷体" w:hAnsi="楷体" w:eastAsia="楷体" w:cs="楷体_GB2312"/>
          <w:sz w:val="32"/>
          <w:szCs w:val="32"/>
        </w:rPr>
        <w:t>（一）年度评定</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各市（区）主管部门结合日常对辖区内培训机构监管情况，确定年度综合评定意见，报省住房城乡建设主管部门备案。</w:t>
      </w:r>
    </w:p>
    <w:p>
      <w:pPr>
        <w:numPr>
          <w:ilvl w:val="0"/>
          <w:numId w:val="1"/>
        </w:num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调研督导</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省厅不定期会同各地建设行政主管部门，实地调研督导培训机构开展工作情况。主要采用听取汇报，查看办学条件，查验相关培训测试资料，听取学员意见等，指出具体问题，提出整改要求，形成督导评定意见。</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四、机构管理</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（一）选取与公布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符合培训机构申报条件的单位，自愿向所在地的设区市住建主管部门提交申请。设区市住建主管部门审核通过，报省级住建主管部门备案后，按程序录入施工现场专业人员培训机构目录。</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（二）信息变更</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培训机构变更名称、法定代表人、服务场所等，应提前</w:t>
      </w:r>
      <w:r>
        <w:rPr>
          <w:rFonts w:ascii="仿宋" w:hAnsi="仿宋" w:eastAsia="仿宋" w:cs="仿宋_GB2312"/>
          <w:sz w:val="32"/>
          <w:szCs w:val="32"/>
        </w:rPr>
        <w:t>15</w:t>
      </w:r>
      <w:r>
        <w:rPr>
          <w:rFonts w:hint="eastAsia" w:ascii="仿宋" w:hAnsi="仿宋" w:eastAsia="仿宋" w:cs="仿宋_GB2312"/>
          <w:sz w:val="32"/>
          <w:szCs w:val="32"/>
        </w:rPr>
        <w:t>个工作日向设区市住建主管部门提交变更申请，完成相应手续后，</w:t>
      </w:r>
      <w:r>
        <w:rPr>
          <w:rFonts w:hint="eastAsia" w:ascii="仿宋" w:hAnsi="仿宋" w:eastAsia="仿宋" w:cs="仿宋"/>
          <w:sz w:val="32"/>
          <w:szCs w:val="32"/>
        </w:rPr>
        <w:t>设区市住</w:t>
      </w:r>
      <w:r>
        <w:rPr>
          <w:rFonts w:hint="eastAsia" w:ascii="仿宋" w:hAnsi="仿宋" w:eastAsia="仿宋" w:cs="仿宋_GB2312"/>
          <w:sz w:val="32"/>
          <w:szCs w:val="32"/>
        </w:rPr>
        <w:t>建主管部门在</w:t>
      </w:r>
      <w:r>
        <w:rPr>
          <w:rFonts w:ascii="仿宋" w:hAnsi="仿宋" w:eastAsia="仿宋" w:cs="仿宋_GB2312"/>
          <w:sz w:val="32"/>
          <w:szCs w:val="32"/>
        </w:rPr>
        <w:t>3</w:t>
      </w:r>
      <w:r>
        <w:rPr>
          <w:rFonts w:hint="eastAsia" w:ascii="仿宋" w:hAnsi="仿宋" w:eastAsia="仿宋" w:cs="仿宋_GB2312"/>
          <w:sz w:val="32"/>
          <w:szCs w:val="32"/>
        </w:rPr>
        <w:t>个工作日内，上报省级主管部门备案。</w:t>
      </w:r>
    </w:p>
    <w:p>
      <w:pPr>
        <w:numPr>
          <w:ilvl w:val="0"/>
          <w:numId w:val="2"/>
        </w:num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自愿退出机制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因故不能正常开展工作的培训机构，填写《施工现场专业人员职业培训机构自愿退出申请表》，履行相关手续后，从全省机构目录中予以取消。</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（四）监督管理</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强化主体责任。培训机构要加强师资力量，完善培训课程，提高管理水平，按照统一的职业标准和培训大纲，规范开展培训，自觉接受住建主管部门管理和社会监督，保证培训质量。</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压实监管责任。住建主管部门根据日常监管情况、年度综合评价、调研督导评定意见，及时通报检查结果。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存在下列问题之一者，将暂停施工现场专业人员培训工作，责令限期整改，并全省通报。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）同一批次报考材料不合格人员超过参加测试人员总数</w:t>
      </w:r>
      <w:r>
        <w:rPr>
          <w:rFonts w:ascii="仿宋" w:hAnsi="仿宋" w:eastAsia="仿宋" w:cs="仿宋_GB2312"/>
          <w:sz w:val="32"/>
          <w:szCs w:val="32"/>
        </w:rPr>
        <w:t>5%</w:t>
      </w:r>
      <w:r>
        <w:rPr>
          <w:rFonts w:hint="eastAsia" w:ascii="仿宋" w:hAnsi="仿宋" w:eastAsia="仿宋" w:cs="仿宋_GB2312"/>
          <w:sz w:val="32"/>
          <w:szCs w:val="32"/>
        </w:rPr>
        <w:t>（含</w:t>
      </w:r>
      <w:r>
        <w:rPr>
          <w:rFonts w:ascii="仿宋" w:hAnsi="仿宋" w:eastAsia="仿宋" w:cs="仿宋_GB2312"/>
          <w:sz w:val="32"/>
          <w:szCs w:val="32"/>
        </w:rPr>
        <w:t>5%</w:t>
      </w:r>
      <w:r>
        <w:rPr>
          <w:rFonts w:hint="eastAsia" w:ascii="仿宋" w:hAnsi="仿宋" w:eastAsia="仿宋" w:cs="仿宋_GB2312"/>
          <w:sz w:val="32"/>
          <w:szCs w:val="32"/>
        </w:rPr>
        <w:t>）的；同一批次测试违纪人数超过参加测试人员总数</w:t>
      </w:r>
      <w:r>
        <w:rPr>
          <w:rFonts w:ascii="仿宋" w:hAnsi="仿宋" w:eastAsia="仿宋" w:cs="仿宋_GB2312"/>
          <w:sz w:val="32"/>
          <w:szCs w:val="32"/>
        </w:rPr>
        <w:t xml:space="preserve"> 5%</w:t>
      </w:r>
      <w:r>
        <w:rPr>
          <w:rFonts w:hint="eastAsia" w:ascii="仿宋" w:hAnsi="仿宋" w:eastAsia="仿宋" w:cs="仿宋_GB2312"/>
          <w:sz w:val="32"/>
          <w:szCs w:val="32"/>
        </w:rPr>
        <w:t>（含</w:t>
      </w:r>
      <w:r>
        <w:rPr>
          <w:rFonts w:ascii="仿宋" w:hAnsi="仿宋" w:eastAsia="仿宋" w:cs="仿宋_GB2312"/>
          <w:sz w:val="32"/>
          <w:szCs w:val="32"/>
        </w:rPr>
        <w:t>5%</w:t>
      </w:r>
      <w:r>
        <w:rPr>
          <w:rFonts w:hint="eastAsia" w:ascii="仿宋" w:hAnsi="仿宋" w:eastAsia="仿宋" w:cs="仿宋_GB2312"/>
          <w:sz w:val="32"/>
          <w:szCs w:val="32"/>
        </w:rPr>
        <w:t>）的；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）培训机构监考人员不按规定履行职责，对考场违纪行为不予制止和处理、擅自离开考场、为考生作弊提供条件等行为的；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3</w:t>
      </w:r>
      <w:r>
        <w:rPr>
          <w:rFonts w:hint="eastAsia" w:ascii="仿宋" w:hAnsi="仿宋" w:eastAsia="仿宋" w:cs="仿宋_GB2312"/>
          <w:sz w:val="32"/>
          <w:szCs w:val="32"/>
        </w:rPr>
        <w:t>）发布虚假培训招生信息，伪造学员培训考勤信息，找人替学、代学，提供虚假培训测试影像资料等的；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4</w:t>
      </w:r>
      <w:r>
        <w:rPr>
          <w:rFonts w:hint="eastAsia" w:ascii="仿宋" w:hAnsi="仿宋" w:eastAsia="仿宋" w:cs="仿宋_GB2312"/>
          <w:sz w:val="32"/>
          <w:szCs w:val="32"/>
        </w:rPr>
        <w:t>）未开启手机信号屏蔽器的（同时整场测试成绩视为无效）；</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5</w:t>
      </w:r>
      <w:r>
        <w:rPr>
          <w:rFonts w:hint="eastAsia" w:ascii="仿宋" w:hAnsi="仿宋" w:eastAsia="仿宋" w:cs="仿宋_GB2312"/>
          <w:sz w:val="32"/>
          <w:szCs w:val="32"/>
        </w:rPr>
        <w:t>）录入全省培训机构目录的培训机构，在省内跨地区开展面授培训的。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存在下列问题之一者，将取消培训机构培训测试资格，清出培训机构目录。</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）同一批次报考材料不合格人数超过参加测试人员总数</w:t>
      </w:r>
      <w:r>
        <w:rPr>
          <w:rFonts w:ascii="仿宋" w:hAnsi="仿宋" w:eastAsia="仿宋" w:cs="仿宋_GB2312"/>
          <w:sz w:val="32"/>
          <w:szCs w:val="32"/>
        </w:rPr>
        <w:t>10%</w:t>
      </w:r>
      <w:r>
        <w:rPr>
          <w:rFonts w:hint="eastAsia" w:ascii="仿宋" w:hAnsi="仿宋" w:eastAsia="仿宋" w:cs="仿宋_GB2312"/>
          <w:sz w:val="32"/>
          <w:szCs w:val="32"/>
        </w:rPr>
        <w:t>（含</w:t>
      </w:r>
      <w:r>
        <w:rPr>
          <w:rFonts w:ascii="仿宋" w:hAnsi="仿宋" w:eastAsia="仿宋" w:cs="仿宋_GB2312"/>
          <w:sz w:val="32"/>
          <w:szCs w:val="32"/>
        </w:rPr>
        <w:t>10%</w:t>
      </w:r>
      <w:r>
        <w:rPr>
          <w:rFonts w:hint="eastAsia" w:ascii="仿宋" w:hAnsi="仿宋" w:eastAsia="仿宋" w:cs="仿宋_GB2312"/>
          <w:sz w:val="32"/>
          <w:szCs w:val="32"/>
        </w:rPr>
        <w:t>）的；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）同一批次测试违纪人数超过参加测试人员总数</w:t>
      </w:r>
      <w:r>
        <w:rPr>
          <w:rFonts w:ascii="仿宋" w:hAnsi="仿宋" w:eastAsia="仿宋" w:cs="仿宋_GB2312"/>
          <w:sz w:val="32"/>
          <w:szCs w:val="32"/>
        </w:rPr>
        <w:t>10%</w:t>
      </w:r>
      <w:r>
        <w:rPr>
          <w:rFonts w:hint="eastAsia" w:ascii="仿宋" w:hAnsi="仿宋" w:eastAsia="仿宋" w:cs="仿宋_GB2312"/>
          <w:sz w:val="32"/>
          <w:szCs w:val="32"/>
        </w:rPr>
        <w:t>（含</w:t>
      </w:r>
      <w:r>
        <w:rPr>
          <w:rFonts w:ascii="仿宋" w:hAnsi="仿宋" w:eastAsia="仿宋" w:cs="仿宋_GB2312"/>
          <w:sz w:val="32"/>
          <w:szCs w:val="32"/>
        </w:rPr>
        <w:t>10%</w:t>
      </w:r>
      <w:r>
        <w:rPr>
          <w:rFonts w:hint="eastAsia" w:ascii="仿宋" w:hAnsi="仿宋" w:eastAsia="仿宋" w:cs="仿宋_GB2312"/>
          <w:sz w:val="32"/>
          <w:szCs w:val="32"/>
        </w:rPr>
        <w:t>）的；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3</w:t>
      </w:r>
      <w:r>
        <w:rPr>
          <w:rFonts w:hint="eastAsia" w:ascii="仿宋" w:hAnsi="仿宋" w:eastAsia="仿宋" w:cs="仿宋_GB2312"/>
          <w:sz w:val="32"/>
          <w:szCs w:val="32"/>
        </w:rPr>
        <w:t>）在培训测试过程中，培训机构故意关闭、遮挡监控设施设备，造成</w:t>
      </w:r>
      <w:r>
        <w:rPr>
          <w:rFonts w:hint="eastAsia" w:ascii="仿宋" w:hAnsi="仿宋" w:eastAsia="仿宋"/>
          <w:sz w:val="32"/>
          <w:szCs w:val="32"/>
          <w:shd w:val="clear" w:color="auto" w:fill="FFFFFF"/>
        </w:rPr>
        <w:t>网络高清远程视频监控、视频存储系统</w:t>
      </w:r>
      <w:r>
        <w:rPr>
          <w:rFonts w:hint="eastAsia" w:ascii="仿宋" w:hAnsi="仿宋" w:eastAsia="仿宋" w:cs="仿宋_GB2312"/>
          <w:sz w:val="32"/>
          <w:szCs w:val="32"/>
        </w:rPr>
        <w:t>不能按要求正常运行等行为的；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4</w:t>
      </w:r>
      <w:r>
        <w:rPr>
          <w:rFonts w:hint="eastAsia" w:ascii="仿宋" w:hAnsi="仿宋" w:eastAsia="仿宋" w:cs="仿宋_GB2312"/>
          <w:sz w:val="32"/>
          <w:szCs w:val="32"/>
        </w:rPr>
        <w:t>）培训数据发现造假的；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5</w:t>
      </w:r>
      <w:r>
        <w:rPr>
          <w:rFonts w:hint="eastAsia" w:ascii="仿宋" w:hAnsi="仿宋" w:eastAsia="仿宋" w:cs="仿宋_GB2312"/>
          <w:sz w:val="32"/>
          <w:szCs w:val="32"/>
        </w:rPr>
        <w:t>）篡改网络学习平台数据，泄露学员身份信息造成不良影响等违规行为的；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6</w:t>
      </w:r>
      <w:r>
        <w:rPr>
          <w:rFonts w:hint="eastAsia" w:ascii="仿宋" w:hAnsi="仿宋" w:eastAsia="仿宋" w:cs="仿宋_GB2312"/>
          <w:sz w:val="32"/>
          <w:szCs w:val="32"/>
        </w:rPr>
        <w:t>）只收费不培训或违反有关规定乱收费，受市场监管部门处罚、扰乱培训市场秩序，造成社会恶劣影响的；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7</w:t>
      </w:r>
      <w:r>
        <w:rPr>
          <w:rFonts w:hint="eastAsia" w:ascii="仿宋" w:hAnsi="仿宋" w:eastAsia="仿宋" w:cs="仿宋_GB2312"/>
          <w:sz w:val="32"/>
          <w:szCs w:val="32"/>
        </w:rPr>
        <w:t>）列入全省施工现场专业人员职业培训机构目录后，半年内未开展工作的；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8</w:t>
      </w:r>
      <w:r>
        <w:rPr>
          <w:rFonts w:hint="eastAsia" w:ascii="仿宋" w:hAnsi="仿宋" w:eastAsia="仿宋" w:cs="仿宋_GB2312"/>
          <w:sz w:val="32"/>
          <w:szCs w:val="32"/>
        </w:rPr>
        <w:t>）逾期未整改或整改后仍不合格的；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9</w:t>
      </w:r>
      <w:r>
        <w:rPr>
          <w:rFonts w:hint="eastAsia" w:ascii="仿宋" w:hAnsi="仿宋" w:eastAsia="仿宋" w:cs="仿宋_GB2312"/>
          <w:sz w:val="32"/>
          <w:szCs w:val="32"/>
        </w:rPr>
        <w:t>）不接受住建、价格等主管部门管理的。</w:t>
      </w: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宋体" w:cs="方正小标宋简体"/>
          <w:b/>
          <w:bCs/>
          <w:w w:val="95"/>
          <w:sz w:val="44"/>
          <w:szCs w:val="44"/>
        </w:rPr>
      </w:pPr>
    </w:p>
    <w:p>
      <w:pPr>
        <w:spacing w:line="500" w:lineRule="exact"/>
        <w:jc w:val="center"/>
        <w:rPr>
          <w:rFonts w:ascii="方正小标宋简体" w:eastAsia="方正小标宋简体" w:cs="方正小标宋简体"/>
          <w:bCs/>
          <w:w w:val="95"/>
          <w:sz w:val="44"/>
          <w:szCs w:val="44"/>
        </w:rPr>
      </w:pPr>
      <w:r>
        <w:rPr>
          <w:rFonts w:hint="eastAsia" w:ascii="方正小标宋简体" w:hAnsi="宋体" w:eastAsia="方正小标宋简体" w:cs="方正小标宋简体"/>
          <w:bCs/>
          <w:w w:val="95"/>
          <w:sz w:val="44"/>
          <w:szCs w:val="44"/>
        </w:rPr>
        <w:t>施工现场专业人员培训机构自愿退出申请表</w:t>
      </w:r>
    </w:p>
    <w:p>
      <w:pPr>
        <w:spacing w:line="500" w:lineRule="exact"/>
        <w:jc w:val="center"/>
        <w:rPr>
          <w:rFonts w:ascii="方正小标宋简体" w:hAnsi="方正小标宋简体" w:eastAsia="方正小标宋简体" w:cs="方正小标宋简体"/>
          <w:bCs/>
          <w:w w:val="95"/>
          <w:sz w:val="44"/>
          <w:szCs w:val="44"/>
        </w:rPr>
      </w:pPr>
    </w:p>
    <w:tbl>
      <w:tblPr>
        <w:tblStyle w:val="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01"/>
        <w:gridCol w:w="900"/>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培训机构名称</w:t>
            </w:r>
          </w:p>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（盖章）</w:t>
            </w:r>
          </w:p>
        </w:tc>
        <w:tc>
          <w:tcPr>
            <w:tcW w:w="6185" w:type="dxa"/>
            <w:gridSpan w:val="3"/>
            <w:vAlign w:val="center"/>
          </w:tcPr>
          <w:p>
            <w:pPr>
              <w:spacing w:line="500" w:lineRule="exact"/>
              <w:rPr>
                <w:rFonts w:ascii="仿宋" w:hAnsi="仿宋" w:eastAsia="仿宋"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培训机构代码</w:t>
            </w:r>
          </w:p>
        </w:tc>
        <w:tc>
          <w:tcPr>
            <w:tcW w:w="6185" w:type="dxa"/>
            <w:gridSpan w:val="3"/>
          </w:tcPr>
          <w:p>
            <w:pPr>
              <w:spacing w:line="500" w:lineRule="exact"/>
              <w:jc w:val="center"/>
              <w:rPr>
                <w:rFonts w:ascii="仿宋" w:hAnsi="仿宋" w:eastAsia="仿宋"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培训机构地址</w:t>
            </w:r>
          </w:p>
        </w:tc>
        <w:tc>
          <w:tcPr>
            <w:tcW w:w="6185" w:type="dxa"/>
            <w:gridSpan w:val="3"/>
            <w:vAlign w:val="center"/>
          </w:tcPr>
          <w:p>
            <w:pPr>
              <w:spacing w:line="500" w:lineRule="exact"/>
              <w:jc w:val="center"/>
              <w:rPr>
                <w:rFonts w:ascii="仿宋" w:hAnsi="仿宋" w:eastAsia="仿宋"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培训机构负责人</w:t>
            </w:r>
          </w:p>
        </w:tc>
        <w:tc>
          <w:tcPr>
            <w:tcW w:w="2501" w:type="dxa"/>
            <w:vAlign w:val="center"/>
          </w:tcPr>
          <w:p>
            <w:pPr>
              <w:spacing w:line="500" w:lineRule="exact"/>
              <w:jc w:val="center"/>
              <w:rPr>
                <w:rFonts w:ascii="仿宋" w:hAnsi="仿宋" w:eastAsia="仿宋" w:cs="仿宋_GB2312"/>
                <w:bCs/>
                <w:sz w:val="28"/>
                <w:szCs w:val="28"/>
              </w:rPr>
            </w:pPr>
          </w:p>
        </w:tc>
        <w:tc>
          <w:tcPr>
            <w:tcW w:w="90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电话</w:t>
            </w:r>
          </w:p>
        </w:tc>
        <w:tc>
          <w:tcPr>
            <w:tcW w:w="2784" w:type="dxa"/>
          </w:tcPr>
          <w:p>
            <w:pPr>
              <w:spacing w:line="500" w:lineRule="exact"/>
              <w:jc w:val="center"/>
              <w:rPr>
                <w:rFonts w:ascii="仿宋" w:hAnsi="仿宋" w:eastAsia="仿宋"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培训机构经办人</w:t>
            </w:r>
          </w:p>
        </w:tc>
        <w:tc>
          <w:tcPr>
            <w:tcW w:w="2501" w:type="dxa"/>
            <w:vAlign w:val="center"/>
          </w:tcPr>
          <w:p>
            <w:pPr>
              <w:spacing w:line="500" w:lineRule="exact"/>
              <w:jc w:val="center"/>
              <w:rPr>
                <w:rFonts w:ascii="仿宋" w:hAnsi="仿宋" w:eastAsia="仿宋" w:cs="仿宋_GB2312"/>
                <w:bCs/>
                <w:sz w:val="28"/>
                <w:szCs w:val="28"/>
              </w:rPr>
            </w:pPr>
          </w:p>
        </w:tc>
        <w:tc>
          <w:tcPr>
            <w:tcW w:w="90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电话</w:t>
            </w:r>
          </w:p>
        </w:tc>
        <w:tc>
          <w:tcPr>
            <w:tcW w:w="2784" w:type="dxa"/>
          </w:tcPr>
          <w:p>
            <w:pPr>
              <w:spacing w:line="500" w:lineRule="exact"/>
              <w:jc w:val="center"/>
              <w:rPr>
                <w:rFonts w:ascii="仿宋" w:hAnsi="仿宋" w:eastAsia="仿宋"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市（区）主管</w:t>
            </w:r>
          </w:p>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部门意见</w:t>
            </w:r>
          </w:p>
        </w:tc>
        <w:tc>
          <w:tcPr>
            <w:tcW w:w="6185" w:type="dxa"/>
            <w:gridSpan w:val="3"/>
          </w:tcPr>
          <w:p>
            <w:pPr>
              <w:spacing w:line="500" w:lineRule="exact"/>
              <w:rPr>
                <w:rFonts w:ascii="仿宋" w:hAnsi="仿宋" w:eastAsia="仿宋" w:cs="仿宋_GB2312"/>
                <w:bCs/>
                <w:sz w:val="28"/>
                <w:szCs w:val="28"/>
              </w:rPr>
            </w:pPr>
          </w:p>
          <w:p>
            <w:pPr>
              <w:spacing w:line="500" w:lineRule="exact"/>
              <w:rPr>
                <w:rFonts w:ascii="仿宋" w:hAnsi="仿宋" w:eastAsia="仿宋" w:cs="仿宋_GB2312"/>
                <w:bCs/>
                <w:sz w:val="28"/>
                <w:szCs w:val="28"/>
              </w:rPr>
            </w:pPr>
          </w:p>
          <w:p>
            <w:pPr>
              <w:spacing w:line="500" w:lineRule="exact"/>
              <w:rPr>
                <w:rFonts w:ascii="仿宋" w:hAnsi="仿宋" w:eastAsia="仿宋" w:cs="仿宋_GB2312"/>
                <w:bCs/>
                <w:sz w:val="28"/>
                <w:szCs w:val="28"/>
              </w:rPr>
            </w:pPr>
          </w:p>
          <w:p>
            <w:pPr>
              <w:spacing w:line="500" w:lineRule="exact"/>
              <w:ind w:firstLine="3780" w:firstLineChars="1350"/>
              <w:rPr>
                <w:rFonts w:ascii="仿宋" w:hAnsi="仿宋" w:eastAsia="仿宋" w:cs="仿宋_GB2312"/>
                <w:bCs/>
                <w:sz w:val="28"/>
                <w:szCs w:val="28"/>
              </w:rPr>
            </w:pPr>
            <w:r>
              <w:rPr>
                <w:rFonts w:hint="eastAsia" w:ascii="仿宋" w:hAnsi="仿宋" w:eastAsia="仿宋" w:cs="仿宋_GB2312"/>
                <w:bCs/>
                <w:sz w:val="28"/>
                <w:szCs w:val="28"/>
              </w:rPr>
              <w:t>（盖章）</w:t>
            </w:r>
          </w:p>
          <w:p>
            <w:pPr>
              <w:spacing w:line="500" w:lineRule="exact"/>
              <w:ind w:firstLine="3640" w:firstLineChars="1300"/>
              <w:rPr>
                <w:rFonts w:ascii="仿宋" w:hAnsi="仿宋" w:eastAsia="仿宋" w:cs="仿宋_GB2312"/>
                <w:bCs/>
                <w:sz w:val="28"/>
                <w:szCs w:val="28"/>
              </w:rPr>
            </w:pPr>
            <w:r>
              <w:rPr>
                <w:rFonts w:hint="eastAsia" w:ascii="仿宋" w:hAnsi="仿宋" w:eastAsia="仿宋" w:cs="仿宋_GB2312"/>
                <w:bCs/>
                <w:sz w:val="28"/>
                <w:szCs w:val="28"/>
              </w:rPr>
              <w:t>年  月  日</w:t>
            </w:r>
          </w:p>
          <w:p>
            <w:pPr>
              <w:spacing w:line="500" w:lineRule="exact"/>
              <w:rPr>
                <w:rFonts w:ascii="仿宋" w:hAnsi="仿宋" w:eastAsia="仿宋" w:cs="仿宋_GB2312"/>
                <w:bCs/>
                <w:sz w:val="28"/>
                <w:szCs w:val="28"/>
              </w:rPr>
            </w:pPr>
          </w:p>
          <w:p>
            <w:pPr>
              <w:spacing w:line="500" w:lineRule="exact"/>
              <w:rPr>
                <w:rFonts w:ascii="仿宋" w:hAnsi="仿宋" w:eastAsia="仿宋"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320" w:type="dxa"/>
            <w:vAlign w:val="center"/>
          </w:tcPr>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省级住房城乡建设主管部门意见</w:t>
            </w:r>
          </w:p>
        </w:tc>
        <w:tc>
          <w:tcPr>
            <w:tcW w:w="6185" w:type="dxa"/>
            <w:gridSpan w:val="3"/>
          </w:tcPr>
          <w:p>
            <w:pPr>
              <w:spacing w:line="500" w:lineRule="exact"/>
              <w:jc w:val="center"/>
              <w:rPr>
                <w:rFonts w:ascii="仿宋" w:hAnsi="仿宋" w:eastAsia="仿宋" w:cs="仿宋_GB2312"/>
                <w:bCs/>
                <w:sz w:val="28"/>
                <w:szCs w:val="28"/>
              </w:rPr>
            </w:pPr>
          </w:p>
          <w:p>
            <w:pPr>
              <w:spacing w:line="500" w:lineRule="exact"/>
              <w:jc w:val="center"/>
              <w:rPr>
                <w:rFonts w:ascii="仿宋" w:hAnsi="仿宋" w:eastAsia="仿宋" w:cs="仿宋_GB2312"/>
                <w:bCs/>
                <w:sz w:val="28"/>
                <w:szCs w:val="28"/>
              </w:rPr>
            </w:pPr>
          </w:p>
          <w:p>
            <w:pPr>
              <w:spacing w:line="500" w:lineRule="exact"/>
              <w:jc w:val="center"/>
              <w:rPr>
                <w:rFonts w:ascii="仿宋" w:hAnsi="仿宋" w:eastAsia="仿宋" w:cs="仿宋_GB2312"/>
                <w:bCs/>
                <w:sz w:val="28"/>
                <w:szCs w:val="28"/>
              </w:rPr>
            </w:pPr>
          </w:p>
          <w:p>
            <w:pPr>
              <w:spacing w:line="500" w:lineRule="exact"/>
              <w:jc w:val="center"/>
              <w:rPr>
                <w:rFonts w:ascii="仿宋" w:hAnsi="仿宋" w:eastAsia="仿宋" w:cs="仿宋_GB2312"/>
                <w:bCs/>
                <w:sz w:val="28"/>
                <w:szCs w:val="28"/>
              </w:rPr>
            </w:pPr>
          </w:p>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 xml:space="preserve">                   （盖章）</w:t>
            </w:r>
          </w:p>
          <w:p>
            <w:pPr>
              <w:spacing w:line="500" w:lineRule="exact"/>
              <w:jc w:val="center"/>
              <w:rPr>
                <w:rFonts w:ascii="仿宋" w:hAnsi="仿宋" w:eastAsia="仿宋" w:cs="仿宋_GB2312"/>
                <w:bCs/>
                <w:sz w:val="28"/>
                <w:szCs w:val="28"/>
              </w:rPr>
            </w:pPr>
            <w:r>
              <w:rPr>
                <w:rFonts w:hint="eastAsia" w:ascii="仿宋" w:hAnsi="仿宋" w:eastAsia="仿宋" w:cs="仿宋_GB2312"/>
                <w:bCs/>
                <w:sz w:val="28"/>
                <w:szCs w:val="28"/>
              </w:rPr>
              <w:t xml:space="preserve">                    年  月  日</w:t>
            </w:r>
          </w:p>
        </w:tc>
      </w:tr>
    </w:tbl>
    <w:p>
      <w:pPr>
        <w:spacing w:line="500" w:lineRule="exact"/>
        <w:rPr>
          <w:rFonts w:ascii="仿宋" w:hAnsi="仿宋" w:eastAsia="仿宋" w:cs="仿宋_GB2312"/>
          <w:bCs/>
          <w:sz w:val="28"/>
          <w:szCs w:val="28"/>
        </w:rPr>
      </w:pPr>
      <w:r>
        <w:rPr>
          <w:rFonts w:hint="eastAsia" w:ascii="仿宋" w:hAnsi="仿宋" w:eastAsia="仿宋" w:cs="仿宋_GB2312"/>
          <w:bCs/>
          <w:sz w:val="28"/>
          <w:szCs w:val="28"/>
        </w:rPr>
        <w:t>备注：此表一式三份。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4CA575-120A-4E0C-B38E-BE72574812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4655AEF-F806-4F78-B9D5-EBBBF946DB2A}"/>
  </w:font>
  <w:font w:name="方正小标宋_GBK">
    <w:panose1 w:val="02000000000000000000"/>
    <w:charset w:val="86"/>
    <w:family w:val="script"/>
    <w:pitch w:val="default"/>
    <w:sig w:usb0="A00002BF" w:usb1="38CF7CFA" w:usb2="00082016" w:usb3="00000000" w:csb0="00040001" w:csb1="00000000"/>
    <w:embedRegular r:id="rId3" w:fontKey="{555CE3CB-DF01-448F-99DA-C3044A0EFF6A}"/>
  </w:font>
  <w:font w:name="方正小标宋简体">
    <w:altName w:val="Arial Unicode MS"/>
    <w:panose1 w:val="02010601030101010101"/>
    <w:charset w:val="86"/>
    <w:family w:val="auto"/>
    <w:pitch w:val="default"/>
    <w:sig w:usb0="00000000" w:usb1="00000000" w:usb2="00000010" w:usb3="00000000" w:csb0="00040000" w:csb1="00000000"/>
    <w:embedRegular r:id="rId4" w:fontKey="{B7175B4A-4D72-4416-A81C-10CF64583105}"/>
  </w:font>
  <w:font w:name="仿宋_GB2312">
    <w:altName w:val="仿宋"/>
    <w:panose1 w:val="02010609030101010101"/>
    <w:charset w:val="86"/>
    <w:family w:val="modern"/>
    <w:pitch w:val="default"/>
    <w:sig w:usb0="00000000" w:usb1="00000000" w:usb2="00000010" w:usb3="00000000" w:csb0="00040000" w:csb1="00000000"/>
    <w:embedRegular r:id="rId5" w:fontKey="{66787036-D859-44B2-8FAF-3B0BD76C4189}"/>
  </w:font>
  <w:font w:name="仿宋">
    <w:panose1 w:val="02010609060101010101"/>
    <w:charset w:val="86"/>
    <w:family w:val="auto"/>
    <w:pitch w:val="default"/>
    <w:sig w:usb0="800002BF" w:usb1="38CF7CFA" w:usb2="00000016" w:usb3="00000000" w:csb0="00040001" w:csb1="00000000"/>
    <w:embedRegular r:id="rId6" w:fontKey="{5198786C-E939-4F01-9555-DE7A67FBC6DB}"/>
  </w:font>
  <w:font w:name="楷体">
    <w:panose1 w:val="02010609060101010101"/>
    <w:charset w:val="86"/>
    <w:family w:val="modern"/>
    <w:pitch w:val="default"/>
    <w:sig w:usb0="800002BF" w:usb1="38CF7CFA" w:usb2="00000016" w:usb3="00000000" w:csb0="00040001" w:csb1="00000000"/>
    <w:embedRegular r:id="rId7" w:fontKey="{4DBFA99D-5B28-49CB-BA2E-E2E122FAD49C}"/>
  </w:font>
  <w:font w:name="楷体_GB2312">
    <w:altName w:val="楷体"/>
    <w:panose1 w:val="02010609030101010101"/>
    <w:charset w:val="86"/>
    <w:family w:val="modern"/>
    <w:pitch w:val="default"/>
    <w:sig w:usb0="00000000" w:usb1="00000000" w:usb2="00000010" w:usb3="00000000" w:csb0="00040000" w:csb1="00000000"/>
    <w:embedRegular r:id="rId8" w:fontKey="{928E612F-2DCC-4DC2-B88F-DB1322596216}"/>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3DC8F"/>
    <w:multiLevelType w:val="singleLevel"/>
    <w:tmpl w:val="F3D3DC8F"/>
    <w:lvl w:ilvl="0" w:tentative="0">
      <w:start w:val="3"/>
      <w:numFmt w:val="chineseCounting"/>
      <w:suff w:val="nothing"/>
      <w:lvlText w:val="（%1）"/>
      <w:lvlJc w:val="left"/>
      <w:rPr>
        <w:rFonts w:hint="eastAsia" w:cs="Times New Roman"/>
      </w:rPr>
    </w:lvl>
  </w:abstractNum>
  <w:abstractNum w:abstractNumId="1">
    <w:nsid w:val="313D9418"/>
    <w:multiLevelType w:val="singleLevel"/>
    <w:tmpl w:val="313D9418"/>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707C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2022-04-29T07:17:16Z</dcterms:created>
  <dc:creator>Administrator</dc:creator>
  <cp:lastModifiedBy>〰</cp:lastModifiedBy>
  <dcterms:modified xsi:type="dcterms:W3CDTF">2022-04-29T07:17:26Z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BD399BFCE824493FB127C53A3A2DFC4A</vt:lpwstr>
  </property>
</Properties>
</file>