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w:t>
      </w:r>
    </w:p>
    <w:p>
      <w:pPr>
        <w:spacing w:line="560" w:lineRule="exact"/>
        <w:jc w:val="center"/>
        <w:rPr>
          <w:rFonts w:ascii="宋体"/>
          <w:b/>
          <w:sz w:val="44"/>
          <w:szCs w:val="44"/>
        </w:rPr>
      </w:pPr>
    </w:p>
    <w:p>
      <w:pPr>
        <w:spacing w:line="560" w:lineRule="exact"/>
        <w:jc w:val="center"/>
        <w:rPr>
          <w:rFonts w:ascii="方正小标宋简体" w:eastAsia="方正小标宋简体"/>
          <w:sz w:val="44"/>
          <w:szCs w:val="44"/>
        </w:rPr>
      </w:pPr>
      <w:r>
        <w:rPr>
          <w:rFonts w:hint="eastAsia" w:ascii="方正小标宋简体" w:hAnsi="宋体" w:eastAsia="方正小标宋简体"/>
          <w:sz w:val="44"/>
          <w:szCs w:val="44"/>
        </w:rPr>
        <w:t>网络技术服务平台要求及审核程序</w:t>
      </w:r>
    </w:p>
    <w:p>
      <w:pPr>
        <w:widowControl w:val="0"/>
        <w:spacing w:after="0" w:line="520" w:lineRule="exact"/>
        <w:ind w:left="0" w:leftChars="0" w:right="0" w:rightChars="0"/>
        <w:jc w:val="both"/>
        <w:rPr>
          <w:rFonts w:ascii="仿宋" w:hAnsi="仿宋" w:eastAsia="仿宋" w:cs="Times New Roman"/>
          <w:kern w:val="2"/>
          <w:sz w:val="32"/>
          <w:szCs w:val="32"/>
          <w:lang w:val="en-US" w:eastAsia="zh-CN" w:bidi="ar-SA"/>
        </w:rPr>
      </w:pPr>
    </w:p>
    <w:p>
      <w:pPr>
        <w:widowControl w:val="0"/>
        <w:spacing w:after="0" w:line="560" w:lineRule="exact"/>
        <w:ind w:left="0" w:leftChars="0" w:right="0" w:rightChars="0" w:firstLine="640" w:firstLineChars="200"/>
        <w:jc w:val="both"/>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一、平台技术要求</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w:t>
      </w:r>
      <w:r>
        <w:rPr>
          <w:rFonts w:hint="eastAsia" w:ascii="仿宋" w:hAnsi="仿宋" w:eastAsia="仿宋" w:cs="Times New Roman"/>
          <w:kern w:val="2"/>
          <w:sz w:val="32"/>
          <w:szCs w:val="32"/>
          <w:lang w:val="en-US" w:eastAsia="zh-CN" w:bidi="ar-SA"/>
        </w:rPr>
        <w:t>平台应出具</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HYPERLINK "http://www.baidu.com/baidu.php?url=0f00000uEDLSpLgiCVUTk5PdTEpCUo675_yECuHQBMaIs5DFexTYjD2s_Gl1PDDG1UGnJ_gQ8sO98RuRUWs-ZxdzrBRkW2o53dUP_w_-Yr4MAvfrHaBoQDD-z23iCo67DRWiPlehSIRxTfcYY-DfsqcnwmrxfYNex933QUU5QIpi8GGD15UG1qM4Y0RwphFDzrEYeQfrOsZeTv4yOvTDGqSG1U9O.Db_NR2Ar5Od663rj6t_RnxFKTMPXzlKi_nYQAeIgvTN0.U1Yk0ZDq1xWa4eazz28dzQzv_preGQQB0ZKGm1Ys0Zfq1xWa4eazz28dzQzv_preGQgcEQpz3_U00A-V5HczPfKM5yqbXWD0Iybqmh7GuZR0TA-b5HcL0APGujYzPjf0UgfqnH0kPdtknjD4g1csPH7xn1Dzn7t1PW0k0AVG5H00TMfqn1nz0AFG5HDdr7tznjwxPH010AdW5HD4nHbknW63nW-xnH0krNtznjRkg1Dsn-ts0Z7spyfqn0Kkmv-b5H00ThIYmyTqn0K9mWYsg100ugFM5Hc0TZ0qn0K8IM0qna3snj0snj0sn0KVIZ0qn0KbuAqs5H00ThCqn0KbugmqTAn0uMfqn0KspjYs0Aq15H00mMTqnH00UMfqn0K1XWY0mgPxpywW5gK1QyIlUMn0pywW5R9rf6KspZw45fKYmgFMugfqPWPxn7tkPHc0IZN15HD3nHmYP1TdP1c4P1c4rjDvP1T0ThNkIjYkPWf4P1nkPHcYnHRk0ZPGujdhnAFhP161uH0snANhPj7W0AP1UHYdfHRvPWFKPHb1PH61nDns0A7W5HD0TA3qn0KkUgfqn0KkUgnqn0KlIjYs0AdWgvuzUvYqn7tsg1Kxn7ts0Aw9UMNBuNqsUA78pyw15HKxn7tsg1RLPWRLnjPxn0Ksmgwxuhk9u1Ys0AwWpyfqn0K-IA-b5iYk0A71TAPW5H00IgKGUhPW5H00Tydh5H00uhPdIjYs0A-1mvsqn0K9uAu_myTqnfK_uhnqn0KbmvPb5fKYTh7buHY3nH0znjc0mhwGujdDfWR3P1fdnjIDrjuaPHP7PYFDPRn4wWn1PbDLPWw7n6KEm1Yk0AFY5H00Uv7YI1Ys0AqY5Hc0ULFsIjYkc10WnHbWnzn4n1bYnW6vnWcWnansQW0snj0snansc1nWnankPznsQW0snj0snankQW0snjDsn0K3TLwd5HTkrHbLnHR0TNqv5H08rHPxna3sn7tsQW0sg108njuxna3sP-tkQW0sg108PWwxn0KBTdqsThqbpyfqn0KzUv-hUA7M5H00mLmq0A-1gvPsmHYs0APs5H00ugPY5H00mLFW5HfznW01&amp;us=newvui&amp;xst=mWdDfWR3P1fdnjIDrjuaPHP7PYFDPRn4wWn1PbDLPWw7n6715HDLn1fLP1DvPjbLn1n3P1cdPj0Yg1czPNts0gTq1xWa4eazz28dzQzv_preGQgcEQpz3_U00gDq1xWa4eazz28dzQzv_preGQQB0gRqP1D4rHTkPf7Y5HDvPjbLn1DdnWfKUgDqn0cs0BYKmv6quhPxTAnKUZRqn07WUWdBmy-bIfD3n1cLPHRYP6&amp;cegduid=P1D4rHTkPf&amp;solutionId=5017313&amp;word=&amp;ck=2907.64.68.336.148.709.201.3119&amp;shh=www.baidu.com&amp;sht=baidu&amp;wd=" \t "_blank" </w:instrText>
      </w:r>
      <w:r>
        <w:rPr>
          <w:rFonts w:ascii="Times New Roman" w:hAnsi="Times New Roman" w:eastAsia="宋体" w:cs="Times New Roman"/>
          <w:kern w:val="2"/>
          <w:sz w:val="21"/>
          <w:szCs w:val="21"/>
          <w:lang w:val="en-US" w:eastAsia="zh-CN" w:bidi="ar-SA"/>
        </w:rPr>
        <w:fldChar w:fldCharType="separate"/>
      </w:r>
      <w:r>
        <w:rPr>
          <w:rFonts w:hint="eastAsia" w:ascii="仿宋" w:hAnsi="仿宋" w:eastAsia="仿宋" w:cs="Times New Roman"/>
          <w:kern w:val="2"/>
          <w:sz w:val="32"/>
          <w:szCs w:val="32"/>
          <w:lang w:val="en-US" w:eastAsia="zh-CN" w:bidi="ar-SA"/>
        </w:rPr>
        <w:t>网络安全保护等级测评</w:t>
      </w:r>
      <w:r>
        <w:rPr>
          <w:rFonts w:hint="eastAsia" w:ascii="仿宋" w:hAnsi="仿宋" w:eastAsia="仿宋" w:cs="Times New Roman"/>
          <w:kern w:val="2"/>
          <w:sz w:val="32"/>
          <w:szCs w:val="32"/>
          <w:lang w:val="en-US" w:eastAsia="zh-CN" w:bidi="ar-SA"/>
        </w:rPr>
        <w:fldChar w:fldCharType="end"/>
      </w:r>
      <w:r>
        <w:rPr>
          <w:rFonts w:hint="eastAsia" w:ascii="仿宋" w:hAnsi="仿宋" w:eastAsia="仿宋" w:cs="Times New Roman"/>
          <w:kern w:val="2"/>
          <w:sz w:val="32"/>
          <w:szCs w:val="32"/>
          <w:lang w:val="en-US" w:eastAsia="zh-CN" w:bidi="ar-SA"/>
        </w:rPr>
        <w:t>相关证明；</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2.</w:t>
      </w:r>
      <w:r>
        <w:rPr>
          <w:rFonts w:hint="eastAsia" w:ascii="仿宋" w:hAnsi="仿宋" w:eastAsia="仿宋" w:cs="Times New Roman"/>
          <w:kern w:val="2"/>
          <w:sz w:val="32"/>
          <w:szCs w:val="32"/>
          <w:lang w:val="en-US" w:eastAsia="zh-CN" w:bidi="ar-SA"/>
        </w:rPr>
        <w:t>平台采用业界流行、成熟稳定的技术架构，硬件、网络配置及承载力满足开展职业培训要求。支持采用第三方云点播技术及相关</w:t>
      </w:r>
      <w:r>
        <w:rPr>
          <w:rFonts w:ascii="仿宋" w:hAnsi="仿宋" w:eastAsia="仿宋" w:cs="Times New Roman"/>
          <w:kern w:val="2"/>
          <w:sz w:val="32"/>
          <w:szCs w:val="32"/>
          <w:lang w:val="en-US" w:eastAsia="zh-CN" w:bidi="ar-SA"/>
        </w:rPr>
        <w:t>CDN</w:t>
      </w:r>
      <w:r>
        <w:rPr>
          <w:rFonts w:hint="eastAsia" w:ascii="仿宋" w:hAnsi="仿宋" w:eastAsia="仿宋" w:cs="Times New Roman"/>
          <w:kern w:val="2"/>
          <w:sz w:val="32"/>
          <w:szCs w:val="32"/>
          <w:lang w:val="en-US" w:eastAsia="zh-CN" w:bidi="ar-SA"/>
        </w:rPr>
        <w:t>加速技术，满足高并发播放；</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3.</w:t>
      </w:r>
      <w:r>
        <w:rPr>
          <w:rFonts w:hint="eastAsia" w:ascii="仿宋" w:hAnsi="仿宋" w:eastAsia="仿宋" w:cs="Times New Roman"/>
          <w:kern w:val="2"/>
          <w:sz w:val="32"/>
          <w:szCs w:val="32"/>
          <w:lang w:val="en-US" w:eastAsia="zh-CN" w:bidi="ar-SA"/>
        </w:rPr>
        <w:t>平台运行稳定，数据管理规范、准确、安全且定期备份，具备鉴别和屏蔽涉及“黄赌毒”、禁播敏感话题等功能。平台各端访问必需使用</w:t>
      </w:r>
      <w:r>
        <w:rPr>
          <w:rFonts w:ascii="仿宋" w:hAnsi="仿宋" w:eastAsia="仿宋" w:cs="Times New Roman"/>
          <w:kern w:val="2"/>
          <w:sz w:val="32"/>
          <w:szCs w:val="32"/>
          <w:lang w:val="en-US" w:eastAsia="zh-CN" w:bidi="ar-SA"/>
        </w:rPr>
        <w:t>https</w:t>
      </w:r>
      <w:r>
        <w:rPr>
          <w:rFonts w:hint="eastAsia" w:ascii="仿宋" w:hAnsi="仿宋" w:eastAsia="仿宋" w:cs="Times New Roman"/>
          <w:kern w:val="2"/>
          <w:sz w:val="32"/>
          <w:szCs w:val="32"/>
          <w:lang w:val="en-US" w:eastAsia="zh-CN" w:bidi="ar-SA"/>
        </w:rPr>
        <w:t>安全传输协议，具备身份认证、访问控制、日志管理等安全保密手段，确保平台内个人学习信息不被泄露，不被篡改；</w:t>
      </w:r>
    </w:p>
    <w:p>
      <w:pPr>
        <w:widowControl w:val="0"/>
        <w:spacing w:line="560" w:lineRule="exact"/>
        <w:ind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4.</w:t>
      </w:r>
      <w:r>
        <w:rPr>
          <w:rFonts w:hint="eastAsia" w:ascii="仿宋" w:hAnsi="仿宋" w:eastAsia="仿宋" w:cs="Times New Roman"/>
          <w:kern w:val="2"/>
          <w:sz w:val="32"/>
          <w:szCs w:val="32"/>
          <w:lang w:val="en-US" w:eastAsia="zh-CN" w:bidi="ar-SA"/>
        </w:rPr>
        <w:t>终端多元化，支持</w:t>
      </w:r>
      <w:r>
        <w:rPr>
          <w:rFonts w:ascii="仿宋" w:hAnsi="仿宋" w:eastAsia="仿宋" w:cs="Times New Roman"/>
          <w:kern w:val="2"/>
          <w:sz w:val="32"/>
          <w:szCs w:val="32"/>
          <w:lang w:val="en-US" w:eastAsia="zh-CN" w:bidi="ar-SA"/>
        </w:rPr>
        <w:t>PC</w:t>
      </w:r>
      <w:r>
        <w:rPr>
          <w:rFonts w:hint="eastAsia" w:ascii="仿宋" w:hAnsi="仿宋" w:eastAsia="仿宋" w:cs="Times New Roman"/>
          <w:kern w:val="2"/>
          <w:sz w:val="32"/>
          <w:szCs w:val="32"/>
          <w:lang w:val="en-US" w:eastAsia="zh-CN" w:bidi="ar-SA"/>
        </w:rPr>
        <w:t>客户端、手机</w:t>
      </w:r>
      <w:r>
        <w:rPr>
          <w:rFonts w:ascii="仿宋" w:hAnsi="仿宋" w:eastAsia="仿宋" w:cs="Times New Roman"/>
          <w:kern w:val="2"/>
          <w:sz w:val="32"/>
          <w:szCs w:val="32"/>
          <w:lang w:val="en-US" w:eastAsia="zh-CN" w:bidi="ar-SA"/>
        </w:rPr>
        <w:t>app</w:t>
      </w:r>
      <w:r>
        <w:rPr>
          <w:rFonts w:hint="eastAsia" w:ascii="仿宋" w:hAnsi="仿宋" w:eastAsia="仿宋" w:cs="Times New Roman"/>
          <w:kern w:val="2"/>
          <w:sz w:val="32"/>
          <w:szCs w:val="32"/>
          <w:lang w:val="en-US" w:eastAsia="zh-CN" w:bidi="ar-SA"/>
        </w:rPr>
        <w:t>移动端、微信小程序端、</w:t>
      </w:r>
      <w:r>
        <w:rPr>
          <w:rFonts w:ascii="仿宋" w:hAnsi="仿宋" w:eastAsia="仿宋" w:cs="Times New Roman"/>
          <w:kern w:val="2"/>
          <w:sz w:val="32"/>
          <w:szCs w:val="32"/>
          <w:lang w:val="en-US" w:eastAsia="zh-CN" w:bidi="ar-SA"/>
        </w:rPr>
        <w:t>h5</w:t>
      </w:r>
      <w:r>
        <w:rPr>
          <w:rFonts w:hint="eastAsia" w:ascii="仿宋" w:hAnsi="仿宋" w:eastAsia="仿宋" w:cs="Times New Roman"/>
          <w:kern w:val="2"/>
          <w:sz w:val="32"/>
          <w:szCs w:val="32"/>
          <w:lang w:val="en-US" w:eastAsia="zh-CN" w:bidi="ar-SA"/>
        </w:rPr>
        <w:t>端等，方便学员自主选择适合的学习方式；</w:t>
      </w:r>
    </w:p>
    <w:p>
      <w:pPr>
        <w:widowControl w:val="0"/>
        <w:spacing w:line="560" w:lineRule="exact"/>
        <w:ind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5.</w:t>
      </w:r>
      <w:r>
        <w:rPr>
          <w:rFonts w:hint="eastAsia" w:ascii="仿宋" w:hAnsi="仿宋" w:eastAsia="仿宋" w:cs="Times New Roman"/>
          <w:kern w:val="2"/>
          <w:sz w:val="32"/>
          <w:szCs w:val="32"/>
          <w:lang w:val="en-US" w:eastAsia="zh-CN" w:bidi="ar-SA"/>
        </w:rPr>
        <w:t>平台操作设计科学合理，支持学员在线直接注册，学员登录过程顺畅、操作简单、方便、快捷，且支持第三方绑定登录；</w:t>
      </w:r>
    </w:p>
    <w:p>
      <w:pPr>
        <w:widowControl w:val="0"/>
        <w:spacing w:line="560" w:lineRule="exact"/>
        <w:ind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6.</w:t>
      </w:r>
      <w:r>
        <w:rPr>
          <w:rFonts w:hint="eastAsia" w:ascii="仿宋" w:hAnsi="仿宋" w:eastAsia="仿宋" w:cs="Times New Roman"/>
          <w:kern w:val="2"/>
          <w:sz w:val="32"/>
          <w:szCs w:val="32"/>
          <w:lang w:val="en-US" w:eastAsia="zh-CN" w:bidi="ar-SA"/>
        </w:rPr>
        <w:t>支持学员自主选购课程，进行在线支付，支持微信、支付宝等主流支付方式；</w:t>
      </w:r>
    </w:p>
    <w:p>
      <w:pPr>
        <w:widowControl w:val="0"/>
        <w:spacing w:line="560" w:lineRule="exact"/>
        <w:ind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7.</w:t>
      </w:r>
      <w:r>
        <w:rPr>
          <w:rFonts w:hint="eastAsia" w:ascii="仿宋" w:hAnsi="仿宋" w:eastAsia="仿宋" w:cs="Times New Roman"/>
          <w:kern w:val="2"/>
          <w:sz w:val="32"/>
          <w:szCs w:val="32"/>
          <w:lang w:val="en-US" w:eastAsia="zh-CN" w:bidi="ar-SA"/>
        </w:rPr>
        <w:t>具备完备的客服体系，能够快速、积极、全方位为学员和机构提供线上或电话咨询；</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8.</w:t>
      </w:r>
      <w:r>
        <w:rPr>
          <w:rFonts w:hint="eastAsia" w:ascii="仿宋" w:hAnsi="仿宋" w:eastAsia="仿宋" w:cs="Times New Roman"/>
          <w:kern w:val="2"/>
          <w:sz w:val="32"/>
          <w:szCs w:val="32"/>
          <w:lang w:val="en-US" w:eastAsia="zh-CN" w:bidi="ar-SA"/>
        </w:rPr>
        <w:t>具备防挂课、刷课功能。禁止同一账号同时多端口登录，禁止多页面、非前端播放课程。学习过程中采用人脸识别技术随机自动识别检测，能实现学习过程照片抓拍且随机抓拍不低于</w:t>
      </w:r>
      <w:r>
        <w:rPr>
          <w:rFonts w:ascii="仿宋" w:hAnsi="仿宋" w:eastAsia="仿宋" w:cs="Times New Roman"/>
          <w:kern w:val="2"/>
          <w:sz w:val="32"/>
          <w:szCs w:val="32"/>
          <w:lang w:val="en-US" w:eastAsia="zh-CN" w:bidi="ar-SA"/>
        </w:rPr>
        <w:t>1</w:t>
      </w:r>
      <w:r>
        <w:rPr>
          <w:rFonts w:hint="eastAsia" w:ascii="仿宋" w:hAnsi="仿宋" w:eastAsia="仿宋" w:cs="Times New Roman"/>
          <w:kern w:val="2"/>
          <w:sz w:val="32"/>
          <w:szCs w:val="32"/>
          <w:lang w:val="en-US" w:eastAsia="zh-CN" w:bidi="ar-SA"/>
        </w:rPr>
        <w:t>张</w:t>
      </w:r>
      <w:r>
        <w:rPr>
          <w:rFonts w:ascii="仿宋" w:hAnsi="仿宋" w:eastAsia="仿宋" w:cs="Times New Roman"/>
          <w:kern w:val="2"/>
          <w:sz w:val="32"/>
          <w:szCs w:val="32"/>
          <w:lang w:val="en-US" w:eastAsia="zh-CN" w:bidi="ar-SA"/>
        </w:rPr>
        <w:t>/</w:t>
      </w:r>
      <w:r>
        <w:rPr>
          <w:rFonts w:hint="eastAsia" w:ascii="仿宋" w:hAnsi="仿宋" w:eastAsia="仿宋" w:cs="Times New Roman"/>
          <w:kern w:val="2"/>
          <w:sz w:val="32"/>
          <w:szCs w:val="32"/>
          <w:lang w:val="en-US" w:eastAsia="zh-CN" w:bidi="ar-SA"/>
        </w:rPr>
        <w:t>学时，有效记录学员在线学习时间、学习内容、学时数等信息，确保培训过程可溯；</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9.</w:t>
      </w:r>
      <w:r>
        <w:rPr>
          <w:rFonts w:hint="eastAsia" w:ascii="仿宋" w:hAnsi="仿宋" w:eastAsia="仿宋" w:cs="Times New Roman"/>
          <w:kern w:val="2"/>
          <w:sz w:val="32"/>
          <w:szCs w:val="32"/>
          <w:lang w:val="en-US" w:eastAsia="zh-CN" w:bidi="ar-SA"/>
        </w:rPr>
        <w:t>具备课程内容质量评价体系，能实现学员对课程内容、师资授课水平的评价；</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10.</w:t>
      </w:r>
      <w:r>
        <w:rPr>
          <w:rFonts w:hint="eastAsia" w:ascii="仿宋" w:hAnsi="仿宋" w:eastAsia="仿宋" w:cs="Times New Roman"/>
          <w:kern w:val="2"/>
          <w:sz w:val="32"/>
          <w:szCs w:val="32"/>
          <w:lang w:val="en-US" w:eastAsia="zh-CN" w:bidi="ar-SA"/>
        </w:rPr>
        <w:t>具有管理部门管理用户登录入口，接受管理部门监管，可以查看学员学习记录，学员在线学习时间、学习内容、学时数等信息，具备统计分析功能，支持数据导出；</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11.</w:t>
      </w:r>
      <w:r>
        <w:rPr>
          <w:rFonts w:hint="eastAsia" w:ascii="仿宋" w:hAnsi="仿宋" w:eastAsia="仿宋" w:cs="Times New Roman"/>
          <w:kern w:val="2"/>
          <w:sz w:val="32"/>
          <w:szCs w:val="32"/>
          <w:lang w:val="en-US" w:eastAsia="zh-CN" w:bidi="ar-SA"/>
        </w:rPr>
        <w:t>与省级信息管理系统实现数据对接，按要求对接数据，并严格执行相关接口标准规范，确保对接数据的有效性。能够按时推送学员信息、学习过程信息和学习结果信息等，做好数据信息留存，便于管理部门进行监管；</w:t>
      </w:r>
    </w:p>
    <w:p>
      <w:pPr>
        <w:widowControl w:val="0"/>
        <w:spacing w:after="0" w:line="560" w:lineRule="exact"/>
        <w:ind w:left="0" w:leftChars="0" w:right="0" w:rightChars="0" w:firstLine="640" w:firstLineChars="200"/>
        <w:jc w:val="both"/>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12.</w:t>
      </w:r>
      <w:r>
        <w:rPr>
          <w:rFonts w:hint="eastAsia" w:ascii="仿宋" w:hAnsi="仿宋" w:eastAsia="仿宋" w:cs="Times New Roman"/>
          <w:kern w:val="2"/>
          <w:sz w:val="32"/>
          <w:szCs w:val="32"/>
          <w:lang w:val="en-US" w:eastAsia="zh-CN" w:bidi="ar-SA"/>
        </w:rPr>
        <w:t>平台中的业务流程需符合管理部门标准要求，且根据国家的相关政策规定或主管部门提出的规范要求及时进行平台功能调整。</w:t>
      </w:r>
    </w:p>
    <w:p>
      <w:pPr>
        <w:widowControl w:val="0"/>
        <w:spacing w:after="0" w:line="560" w:lineRule="exact"/>
        <w:ind w:left="0" w:leftChars="0" w:right="0" w:rightChars="0" w:firstLine="640" w:firstLineChars="200"/>
        <w:jc w:val="both"/>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二、审核程序</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通过专家评审等方式，市（区）住建部门组织对网络技术服务平台进行审查，审查通过后报省级主管部门备案，纳入我省网络技术服务平台目录，在省级管理信息系统中予以公布。</w:t>
      </w: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spacing w:line="540" w:lineRule="exact"/>
        <w:jc w:val="left"/>
        <w:rPr>
          <w:rFonts w:ascii="黑体" w:hAnsi="黑体" w:eastAsia="黑体" w:cs="黑体"/>
          <w:bCs/>
          <w:sz w:val="32"/>
          <w:szCs w:val="32"/>
        </w:rPr>
      </w:pPr>
    </w:p>
    <w:p>
      <w:pPr>
        <w:jc w:val="center"/>
        <w:rPr>
          <w:rFonts w:ascii="方正小标宋简体" w:eastAsia="方正小标宋简体" w:cs="宋体"/>
          <w:bCs/>
          <w:w w:val="95"/>
          <w:sz w:val="44"/>
          <w:szCs w:val="44"/>
        </w:rPr>
      </w:pPr>
      <w:r>
        <w:rPr>
          <w:rFonts w:hint="eastAsia" w:ascii="方正小标宋简体" w:hAnsi="宋体" w:eastAsia="方正小标宋简体"/>
          <w:sz w:val="44"/>
          <w:szCs w:val="44"/>
        </w:rPr>
        <w:t>网络技术服务平台</w:t>
      </w:r>
      <w:r>
        <w:rPr>
          <w:rFonts w:hint="eastAsia" w:ascii="方正小标宋简体" w:hAnsi="宋体" w:eastAsia="方正小标宋简体" w:cs="宋体"/>
          <w:bCs/>
          <w:w w:val="95"/>
          <w:sz w:val="44"/>
          <w:szCs w:val="44"/>
        </w:rPr>
        <w:t>上线运行承诺书</w:t>
      </w:r>
    </w:p>
    <w:p>
      <w:pPr>
        <w:spacing w:line="560" w:lineRule="exact"/>
        <w:jc w:val="center"/>
        <w:rPr>
          <w:rFonts w:ascii="宋体" w:cs="宋体"/>
          <w:b/>
          <w:bCs/>
          <w:w w:val="95"/>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陕西省住房和城乡建设厅：</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根据陕西省住房和城乡建设领域施工现场专业人员网络技术服务平台技术要求及相关规定，现对平台上线运行做出如下承诺：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达到</w:t>
      </w:r>
      <w:r>
        <w:rPr>
          <w:rFonts w:hint="eastAsia" w:ascii="仿宋" w:hAnsi="仿宋" w:eastAsia="仿宋"/>
          <w:sz w:val="32"/>
          <w:szCs w:val="32"/>
          <w:shd w:val="clear" w:color="auto" w:fill="FFFFFF"/>
        </w:rPr>
        <w:t>网络</w:t>
      </w:r>
      <w:r>
        <w:rPr>
          <w:rFonts w:hint="eastAsia" w:ascii="仿宋_GB2312" w:hAnsi="仿宋_GB2312" w:eastAsia="仿宋_GB2312" w:cs="仿宋_GB2312"/>
          <w:sz w:val="32"/>
          <w:szCs w:val="32"/>
        </w:rPr>
        <w:t>技术服务</w:t>
      </w:r>
      <w:r>
        <w:rPr>
          <w:rFonts w:hint="eastAsia" w:ascii="仿宋" w:hAnsi="仿宋" w:eastAsia="仿宋"/>
          <w:sz w:val="32"/>
          <w:szCs w:val="32"/>
          <w:shd w:val="clear" w:color="auto" w:fill="FFFFFF"/>
        </w:rPr>
        <w:t>平台相关技术要求；</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严格按照国家相关法律法规，从事经营活动，不涉及与施工现场专业人员职业培训工作无关事项；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对平台运行维护负责，保证数据安全，不以任何形式任何理由篡改平台数据；</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确保平台运行良好，客服体系完备，能够快速、积极、全方位提供技术咨询服务；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自觉接受主管部门监督管理，如有违规行为，自愿接受并承担主管部门及其他有关部门处理结果。</w:t>
      </w:r>
    </w:p>
    <w:p>
      <w:pPr>
        <w:spacing w:line="560" w:lineRule="exact"/>
        <w:ind w:firstLine="2560" w:firstLineChars="800"/>
        <w:rPr>
          <w:rFonts w:ascii="仿宋_GB2312" w:hAnsi="仿宋_GB2312" w:eastAsia="仿宋_GB2312" w:cs="仿宋_GB2312"/>
          <w:sz w:val="32"/>
          <w:szCs w:val="32"/>
        </w:rPr>
      </w:pPr>
    </w:p>
    <w:p>
      <w:pPr>
        <w:spacing w:line="560" w:lineRule="exact"/>
        <w:ind w:firstLine="2560" w:firstLineChars="800"/>
        <w:rPr>
          <w:rFonts w:ascii="仿宋_GB2312" w:hAnsi="仿宋_GB2312" w:eastAsia="仿宋_GB2312" w:cs="仿宋_GB2312"/>
          <w:sz w:val="32"/>
          <w:szCs w:val="32"/>
        </w:rPr>
      </w:pPr>
    </w:p>
    <w:p>
      <w:pPr>
        <w:spacing w:line="560" w:lineRule="exact"/>
        <w:ind w:firstLine="3360" w:firstLineChars="1050"/>
        <w:rPr>
          <w:rFonts w:ascii="仿宋_GB2312" w:hAnsi="仿宋_GB2312" w:eastAsia="仿宋_GB2312" w:cs="仿宋_GB2312"/>
          <w:sz w:val="32"/>
          <w:szCs w:val="32"/>
        </w:rPr>
      </w:pPr>
      <w:r>
        <w:rPr>
          <w:rFonts w:hint="eastAsia" w:ascii="仿宋_GB2312" w:hAnsi="仿宋_GB2312" w:eastAsia="仿宋_GB2312" w:cs="仿宋_GB2312"/>
          <w:sz w:val="32"/>
          <w:szCs w:val="32"/>
        </w:rPr>
        <w:t>提交平台单位（章）：</w:t>
      </w:r>
    </w:p>
    <w:p>
      <w:pPr>
        <w:spacing w:line="560" w:lineRule="exact"/>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widowControl/>
        <w:jc w:val="left"/>
        <w:rPr>
          <w:rFonts w:ascii="黑体" w:hAnsi="黑体" w:eastAsia="黑体" w:cs="黑体"/>
          <w:bCs/>
          <w:sz w:val="32"/>
          <w:szCs w:val="32"/>
        </w:rPr>
      </w:pPr>
    </w:p>
    <w:p>
      <w:pPr>
        <w:widowControl/>
        <w:jc w:val="left"/>
        <w:rPr>
          <w:rFonts w:ascii="黑体" w:hAnsi="黑体" w:eastAsia="黑体" w:cs="黑体"/>
          <w:bCs/>
          <w:sz w:val="32"/>
          <w:szCs w:val="32"/>
        </w:rPr>
      </w:pPr>
    </w:p>
    <w:p>
      <w:pPr>
        <w:widowControl/>
        <w:jc w:val="left"/>
        <w:rPr>
          <w:rFonts w:ascii="黑体" w:hAnsi="黑体" w:eastAsia="黑体" w:cs="黑体"/>
          <w:bCs/>
          <w:sz w:val="32"/>
          <w:szCs w:val="32"/>
        </w:rPr>
      </w:pPr>
    </w:p>
    <w:p>
      <w:pPr>
        <w:jc w:val="center"/>
        <w:rPr>
          <w:rFonts w:ascii="方正小标宋简体" w:eastAsia="方正小标宋简体" w:cs="方正小标宋简体"/>
          <w:sz w:val="44"/>
          <w:szCs w:val="44"/>
        </w:rPr>
      </w:pPr>
      <w:r>
        <w:rPr>
          <w:rFonts w:hint="eastAsia" w:ascii="方正小标宋简体" w:hAnsi="宋体" w:eastAsia="方正小标宋简体"/>
          <w:sz w:val="44"/>
          <w:szCs w:val="44"/>
        </w:rPr>
        <w:t>网络技术服务平台</w:t>
      </w:r>
      <w:r>
        <w:rPr>
          <w:rFonts w:hint="eastAsia" w:ascii="方正小标宋简体" w:hAnsi="宋体" w:eastAsia="方正小标宋简体" w:cs="方正小标宋简体"/>
          <w:sz w:val="44"/>
          <w:szCs w:val="44"/>
        </w:rPr>
        <w:t>违规处理规定</w:t>
      </w:r>
    </w:p>
    <w:p>
      <w:pPr>
        <w:ind w:firstLine="64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为加强我省施工现场专业人员培训网络技术服务平台管理，发挥“互联网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培训”优势，规范网络职业培训，特制定本规定。</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一、管理对象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列入我省建设领域施工现场专业人员网络技术服务平台目录的平台。</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二、管理内容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主要包括平台稳定运行、数据安全、应急响应以及社会声誉等。</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如出现以下行为，停止平台运营，责令限期整改，予以通报：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）平台运行不稳定，技术服务难保障的；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）培训学员频繁投诉的；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）引发平台或机构之间恶意竞争的；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）应对突发事件，未积极响应的；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）具有不良社会口碑的。</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如出现以下行为，将清除平台目录，涉及触犯法律规定的，移交相关部门处理：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）篡改平台数据的；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）造成平台数据丢失的；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）造成学员信息泄露的；</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）不自愿接受省级管理信息系统监管的；</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）恶意攻击省级管理信息系统的；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）违反其他法律规定的。</w:t>
      </w:r>
    </w:p>
    <w:p>
      <w:pPr>
        <w:widowControl/>
        <w:jc w:val="left"/>
        <w:rPr>
          <w:rFonts w:ascii="黑体" w:hAnsi="黑体" w:eastAsia="黑体" w:cs="黑体"/>
          <w:bCs/>
          <w:sz w:val="32"/>
          <w:szCs w:val="32"/>
        </w:rPr>
      </w:pPr>
    </w:p>
    <w:p>
      <w:pPr>
        <w:widowControl/>
        <w:jc w:val="left"/>
        <w:rPr>
          <w:rFonts w:ascii="黑体" w:hAnsi="黑体" w:eastAsia="黑体" w:cs="黑体"/>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4029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semiHidden/>
    <w:qFormat/>
    <w:uiPriority w:val="99"/>
    <w:pPr>
      <w:spacing w:after="120"/>
      <w:ind w:left="1440" w:leftChars="700" w:right="1440" w:rightChars="700"/>
    </w:pPr>
    <w:rPr>
      <w:rFonts w:ascii="Times New Roman" w:hAnsi="Times New Roman"/>
      <w:szCs w:val="21"/>
    </w:rPr>
  </w:style>
  <w:style w:type="paragraph" w:customStyle="1" w:styleId="5">
    <w:name w:val="样式"/>
    <w:basedOn w:val="1"/>
    <w:next w:val="6"/>
    <w:qFormat/>
    <w:uiPriority w:val="99"/>
    <w:pPr>
      <w:ind w:firstLine="420" w:firstLineChars="200"/>
    </w:pPr>
    <w:rPr>
      <w:rFonts w:ascii="Times New Roman" w:hAnsi="Times New Roman"/>
      <w:szCs w:val="21"/>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2022-04-29T07:14:34Z</dcterms:created>
  <dc:creator>Administrator</dc:creator>
  <cp:lastModifiedBy>〰</cp:lastModifiedBy>
  <dcterms:modified xsi:type="dcterms:W3CDTF">2022-04-29T07:14:48Z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F7CE7A1F49EF40A49418EAC91FE02782</vt:lpwstr>
  </property>
</Properties>
</file>